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p>
    <w:p>
      <w:pPr>
        <w:jc w:val="center"/>
        <w:rPr>
          <w:rFonts w:hint="eastAsia"/>
          <w:color w:val="000000"/>
        </w:rPr>
      </w:pPr>
    </w:p>
    <w:p>
      <w:pPr>
        <w:pStyle w:val="2"/>
        <w:spacing w:before="0" w:after="0" w:line="600" w:lineRule="exact"/>
        <w:jc w:val="center"/>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江西省普通高校招生体检数据标准</w:t>
      </w:r>
    </w:p>
    <w:p>
      <w:pPr>
        <w:jc w:val="center"/>
        <w:rPr>
          <w:rFonts w:hint="eastAsia"/>
          <w:color w:val="000000"/>
        </w:rPr>
      </w:pPr>
    </w:p>
    <w:p>
      <w:pPr>
        <w:spacing w:line="560" w:lineRule="exact"/>
        <w:ind w:firstLine="660"/>
        <w:rPr>
          <w:rFonts w:hint="eastAsia" w:ascii="仿宋_GB2312" w:eastAsia="仿宋_GB2312"/>
          <w:color w:val="000000"/>
          <w:sz w:val="32"/>
          <w:szCs w:val="32"/>
        </w:rPr>
      </w:pPr>
      <w:r>
        <w:rPr>
          <w:rFonts w:hint="eastAsia" w:ascii="仿宋_GB2312" w:eastAsia="仿宋_GB2312"/>
          <w:color w:val="000000"/>
          <w:sz w:val="32"/>
          <w:szCs w:val="32"/>
        </w:rPr>
        <w:t>体检数据分两种存档格式：DBF数据表和GIF图片。</w:t>
      </w:r>
    </w:p>
    <w:p>
      <w:pPr>
        <w:spacing w:line="560" w:lineRule="exact"/>
        <w:ind w:firstLine="660"/>
        <w:rPr>
          <w:rFonts w:hint="eastAsia" w:ascii="黑体" w:hAnsi="黑体" w:eastAsia="黑体" w:cs="黑体"/>
          <w:color w:val="000000"/>
          <w:sz w:val="32"/>
          <w:szCs w:val="32"/>
        </w:rPr>
      </w:pPr>
      <w:r>
        <w:rPr>
          <w:rFonts w:hint="eastAsia" w:ascii="黑体" w:hAnsi="黑体" w:eastAsia="黑体" w:cs="黑体"/>
          <w:color w:val="000000"/>
          <w:sz w:val="32"/>
          <w:szCs w:val="32"/>
        </w:rPr>
        <w:t>1.DBF数据表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1.1体检信息表（每个考生一条记录）</w:t>
      </w:r>
    </w:p>
    <w:tbl>
      <w:tblPr>
        <w:tblStyle w:val="5"/>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900"/>
        <w:gridCol w:w="913"/>
        <w:gridCol w:w="108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48" w:type="dxa"/>
            <w:shd w:val="clear" w:color="auto" w:fill="auto"/>
            <w:noWrap w:val="0"/>
            <w:vAlign w:val="center"/>
          </w:tcPr>
          <w:p>
            <w:pPr>
              <w:spacing w:line="240" w:lineRule="exact"/>
              <w:ind w:left="-105" w:right="-105"/>
              <w:jc w:val="center"/>
              <w:rPr>
                <w:rFonts w:hint="eastAsia" w:ascii="黑体" w:hAnsi="黑体" w:eastAsia="黑体" w:cs="宋体"/>
                <w:color w:val="000000"/>
                <w:szCs w:val="21"/>
              </w:rPr>
            </w:pPr>
            <w:r>
              <w:rPr>
                <w:rFonts w:hint="eastAsia" w:ascii="黑体" w:hAnsi="黑体" w:eastAsia="黑体" w:cs="宋体"/>
                <w:color w:val="000000"/>
                <w:szCs w:val="21"/>
              </w:rPr>
              <w:t>序号</w:t>
            </w:r>
          </w:p>
        </w:tc>
        <w:tc>
          <w:tcPr>
            <w:tcW w:w="1260" w:type="dxa"/>
            <w:shd w:val="clear" w:color="auto" w:fill="auto"/>
            <w:noWrap w:val="0"/>
            <w:vAlign w:val="center"/>
          </w:tcPr>
          <w:p>
            <w:pPr>
              <w:spacing w:line="240" w:lineRule="exact"/>
              <w:jc w:val="center"/>
              <w:rPr>
                <w:rFonts w:hint="eastAsia" w:ascii="黑体" w:hAnsi="黑体" w:eastAsia="黑体" w:cs="宋体"/>
                <w:color w:val="000000"/>
                <w:szCs w:val="21"/>
              </w:rPr>
            </w:pPr>
            <w:r>
              <w:rPr>
                <w:rFonts w:hint="eastAsia" w:ascii="黑体" w:hAnsi="黑体" w:eastAsia="黑体" w:cs="宋体"/>
                <w:color w:val="000000"/>
                <w:szCs w:val="21"/>
              </w:rPr>
              <w:t>字 段 名</w:t>
            </w:r>
          </w:p>
        </w:tc>
        <w:tc>
          <w:tcPr>
            <w:tcW w:w="900" w:type="dxa"/>
            <w:shd w:val="clear" w:color="auto" w:fill="auto"/>
            <w:noWrap w:val="0"/>
            <w:vAlign w:val="center"/>
          </w:tcPr>
          <w:p>
            <w:pPr>
              <w:spacing w:line="240" w:lineRule="exact"/>
              <w:jc w:val="center"/>
              <w:rPr>
                <w:rFonts w:hint="eastAsia" w:ascii="黑体" w:hAnsi="黑体" w:eastAsia="黑体" w:cs="宋体"/>
                <w:color w:val="000000"/>
                <w:szCs w:val="21"/>
              </w:rPr>
            </w:pPr>
            <w:r>
              <w:rPr>
                <w:rFonts w:hint="eastAsia" w:ascii="黑体" w:hAnsi="黑体" w:eastAsia="黑体" w:cs="宋体"/>
                <w:color w:val="000000"/>
                <w:szCs w:val="21"/>
              </w:rPr>
              <w:t>类 型</w:t>
            </w:r>
          </w:p>
        </w:tc>
        <w:tc>
          <w:tcPr>
            <w:tcW w:w="913" w:type="dxa"/>
            <w:shd w:val="clear" w:color="auto" w:fill="auto"/>
            <w:noWrap w:val="0"/>
            <w:vAlign w:val="center"/>
          </w:tcPr>
          <w:p>
            <w:pPr>
              <w:spacing w:line="240" w:lineRule="exact"/>
              <w:jc w:val="center"/>
              <w:rPr>
                <w:rFonts w:hint="eastAsia" w:ascii="黑体" w:hAnsi="黑体" w:eastAsia="黑体" w:cs="宋体"/>
                <w:color w:val="000000"/>
                <w:szCs w:val="21"/>
              </w:rPr>
            </w:pPr>
            <w:r>
              <w:rPr>
                <w:rFonts w:hint="eastAsia" w:ascii="黑体" w:hAnsi="黑体" w:eastAsia="黑体" w:cs="宋体"/>
                <w:color w:val="000000"/>
                <w:szCs w:val="21"/>
              </w:rPr>
              <w:t>长 度</w:t>
            </w:r>
          </w:p>
        </w:tc>
        <w:tc>
          <w:tcPr>
            <w:tcW w:w="1080" w:type="dxa"/>
            <w:shd w:val="clear" w:color="auto" w:fill="auto"/>
            <w:noWrap w:val="0"/>
            <w:vAlign w:val="center"/>
          </w:tcPr>
          <w:p>
            <w:pPr>
              <w:spacing w:line="240" w:lineRule="exact"/>
              <w:jc w:val="center"/>
              <w:rPr>
                <w:rFonts w:hint="eastAsia" w:ascii="黑体" w:hAnsi="黑体" w:eastAsia="黑体" w:cs="宋体"/>
                <w:color w:val="000000"/>
                <w:szCs w:val="21"/>
              </w:rPr>
            </w:pPr>
            <w:r>
              <w:rPr>
                <w:rFonts w:hint="eastAsia" w:ascii="黑体" w:hAnsi="黑体" w:eastAsia="黑体" w:cs="宋体"/>
                <w:color w:val="000000"/>
                <w:szCs w:val="21"/>
              </w:rPr>
              <w:t>非 空</w:t>
            </w:r>
          </w:p>
        </w:tc>
        <w:tc>
          <w:tcPr>
            <w:tcW w:w="4191" w:type="dxa"/>
            <w:shd w:val="clear" w:color="auto" w:fill="auto"/>
            <w:noWrap w:val="0"/>
            <w:vAlign w:val="center"/>
          </w:tcPr>
          <w:p>
            <w:pPr>
              <w:spacing w:line="240" w:lineRule="exact"/>
              <w:jc w:val="center"/>
              <w:rPr>
                <w:rFonts w:hint="eastAsia" w:ascii="黑体" w:hAnsi="黑体" w:eastAsia="黑体" w:cs="宋体"/>
                <w:color w:val="000000"/>
                <w:szCs w:val="21"/>
              </w:rPr>
            </w:pPr>
            <w:r>
              <w:rPr>
                <w:rFonts w:hint="eastAsia" w:ascii="黑体" w:hAnsi="黑体" w:eastAsia="黑体" w:cs="宋体"/>
                <w:color w:val="000000"/>
                <w:szCs w:val="21"/>
              </w:rPr>
              <w:t>含 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Ksh</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14</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考生号(主键)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Tjxh</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Jwbsbz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既往病史标志(1-无，0-有)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Jwbs</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既往病史. 既往病史标志为“0”者，须如实填写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Yk_lysly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眼科.裸眼视力(右)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Yk_lyslz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眼科.裸眼视力(左)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Yk_jzsly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眼科.矫正视力(右)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Yk_jzslz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眼科.矫正视力(左)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Yk_jzdsy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眼科.矫正度数(右)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Yk_jzdsz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眼科.矫正度数(左)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Yk_sjjc</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眼科.彩色图案及数码检查(1-正常,2-其他)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Yk_sjjct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眼科.色觉检查图名称(1-喻自萍,2-其他)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Yk_sjds1</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眼科.单色识别能力（红）（1-能识别，0-不能识别）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Yk_sjds2</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眼科.单色识别能力（黄）（1-能识别，0-不能识别）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Yk_sjds3</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眼科.单色识别能力（绿）（1-能识别，0-不能识别）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Yk_sjds4</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眼科.单色识别能力（蓝）（1-能识别，0-不能识别）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Yk_sjds5</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眼科.单色识别能力（紫）（1-能识别，0-不能识别）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Yk_yb</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眼科.眼病（具体描述）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Nk_xyssy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内科.血压收缩压（高压）(单位:kpa)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Nk_xyszy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内科.血压舒张压（低压）(单位:kpa)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Nk_fyqk</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内科.发育情况(1-良,2-中,3-差)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Nk_xzjxg</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内科.心脏及血管(1-正常,2-其他)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Nk_hxxt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内科.呼吸系统(1-正常,2-其他)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Nk_sjxt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内科.神经系统(1-正常,2-其他)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Nk_g</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内科.肝(单位:厘米)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Nk_gxz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内科.肝性质(1-正常,2-其他)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Nk_p</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内科.脾(单位:厘米)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Nk_pxz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内科.脾性质(1-正常,2-其他)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Nk_qt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内科.其他（具体描述）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Wk_sg</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外科.身高(单位:厘米)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Wk_tz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外科.体重(单位:千克)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Wk_pf</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外科.皮肤(1-正常,2-其他)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Wk_mb</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外科.面部(1-正常,2-其他)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Wk_jb</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外科.颈部(1-正常,2-其他)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Wk_jz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外科.脊柱(1-正常,2-其他)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Wk_sz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外科.四肢(1-正常,2-其他)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39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Wk_gj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外科.关节(1-正常,2-其他)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Wk_qt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外科.其他（具体描述）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Eb_zetl</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耳鼻喉科.左耳听力(单位:米)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Eb_yetl</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Number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耳鼻喉科.右耳听力(单位:米)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Eb_xj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耳鼻喉科.嗅觉(1-正常,0-迟钝)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Eb_ysyj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耳鼻喉科医师意见(1-合格，2-专业受限，3-不合格)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Eb_ebyh</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耳鼻喉科.耳鼻咽喉（具体描述）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Kq_ce</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口腔科.唇腭(1-正常,2-其他)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Kq_sfkc</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口腔科.是否口吃(1-否,0-是)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49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Kq_yc</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口腔科.牙齿(1-正常,2-其他)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Kq_ysyj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口腔科医师意见(1-合格，2-专业受限，3-不合格)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Kq_qt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口腔科.其他（具体描述）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Xt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胸透(1-正常,2-其他)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Xt_ysyj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胸透医师意见(1-合格，2-专业受限，3-不合格)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Xt_qt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胸透.其他（具体描述）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Gg_zam</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肝功能.转氨酶(1-正常,2-其他)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Gg_ygky</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肝功能.乙肝表面抗原(1-正常,2-其他)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57</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Gg_ysyj</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肝功医师意见(1-合格，2-专业受限，3-不合格)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58</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Gg_qt</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肝功能.其他（具体描述）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59</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Zysxdm1</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60</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Zysxdm2</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61</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Zysxdm3</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62</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Zysxdm4</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63</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Zysxdm5</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64</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Zysxdm6</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2</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体检专业受限代码6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65</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Tjjldm</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Not Null</w:t>
            </w: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体检结论代码(1-合格，2-专业受限，3-不合格)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8"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66</w:t>
            </w:r>
          </w:p>
        </w:tc>
        <w:tc>
          <w:tcPr>
            <w:tcW w:w="126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Bz</w:t>
            </w:r>
          </w:p>
        </w:tc>
        <w:tc>
          <w:tcPr>
            <w:tcW w:w="900"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Char</w:t>
            </w:r>
          </w:p>
        </w:tc>
        <w:tc>
          <w:tcPr>
            <w:tcW w:w="913" w:type="dxa"/>
            <w:shd w:val="clear" w:color="auto" w:fill="auto"/>
            <w:noWrap w:val="0"/>
            <w:vAlign w:val="center"/>
          </w:tcPr>
          <w:p>
            <w:pPr>
              <w:spacing w:line="240" w:lineRule="exact"/>
              <w:jc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100</w:t>
            </w:r>
          </w:p>
        </w:tc>
        <w:tc>
          <w:tcPr>
            <w:tcW w:w="1080" w:type="dxa"/>
            <w:shd w:val="clear" w:color="auto" w:fill="auto"/>
            <w:noWrap w:val="0"/>
            <w:vAlign w:val="center"/>
          </w:tcPr>
          <w:p>
            <w:pPr>
              <w:spacing w:line="240" w:lineRule="exact"/>
              <w:jc w:val="center"/>
              <w:rPr>
                <w:rFonts w:hint="eastAsia" w:ascii="仿宋_GB2312" w:hAnsi="宋体" w:eastAsia="仿宋_GB2312" w:cs="宋体"/>
                <w:color w:val="000000"/>
                <w:szCs w:val="21"/>
              </w:rPr>
            </w:pPr>
          </w:p>
        </w:tc>
        <w:tc>
          <w:tcPr>
            <w:tcW w:w="4191" w:type="dxa"/>
            <w:shd w:val="clear" w:color="auto" w:fill="auto"/>
            <w:noWrap w:val="0"/>
            <w:vAlign w:val="center"/>
          </w:tcPr>
          <w:p>
            <w:pPr>
              <w:spacing w:line="240" w:lineRule="exact"/>
              <w:rPr>
                <w:rFonts w:hint="eastAsia" w:ascii="仿宋_GB2312" w:hAnsi="宋体" w:eastAsia="仿宋_GB2312" w:cs="宋体"/>
                <w:color w:val="000000"/>
                <w:szCs w:val="21"/>
              </w:rPr>
            </w:pPr>
            <w:r>
              <w:rPr>
                <w:rFonts w:hint="eastAsia" w:ascii="仿宋_GB2312" w:hAnsi="宋体" w:eastAsia="仿宋_GB2312" w:cs="宋体"/>
                <w:color w:val="000000"/>
                <w:szCs w:val="21"/>
              </w:rPr>
              <w:t>备注</w:t>
            </w:r>
          </w:p>
        </w:tc>
      </w:tr>
    </w:tbl>
    <w:p>
      <w:pPr>
        <w:spacing w:before="156" w:beforeLines="50" w:line="580" w:lineRule="exact"/>
        <w:rPr>
          <w:rFonts w:hint="eastAsia" w:ascii="仿宋_GB2312" w:hAnsi="楷体_GB2312" w:eastAsia="仿宋_GB2312" w:cs="楷体_GB2312"/>
          <w:color w:val="000000"/>
          <w:szCs w:val="32"/>
        </w:rPr>
      </w:pPr>
      <w:r>
        <w:rPr>
          <w:rFonts w:hint="eastAsia" w:ascii="仿宋_GB2312" w:hAnsi="楷体_GB2312" w:eastAsia="仿宋_GB2312" w:cs="楷体_GB2312"/>
          <w:color w:val="000000"/>
          <w:szCs w:val="32"/>
        </w:rPr>
        <w:t>说明：此表以全数字化信息采集教育部高校学生司提供的考生体检表为基础。</w:t>
      </w:r>
    </w:p>
    <w:p>
      <w:pPr>
        <w:pStyle w:val="3"/>
        <w:numPr>
          <w:ilvl w:val="1"/>
          <w:numId w:val="0"/>
        </w:numPr>
        <w:spacing w:before="0" w:beforeAutospacing="0" w:after="0" w:afterAutospacing="0" w:line="240" w:lineRule="auto"/>
        <w:ind w:firstLine="640" w:firstLineChars="200"/>
        <w:rPr>
          <w:rFonts w:ascii="仿宋_GB2312" w:hAnsi="仿宋" w:eastAsia="仿宋_GB2312" w:cs="仿宋"/>
          <w:color w:val="000000"/>
          <w:sz w:val="32"/>
          <w:szCs w:val="32"/>
        </w:rPr>
      </w:pPr>
      <w:r>
        <w:rPr>
          <w:rFonts w:ascii="仿宋_GB2312" w:hAnsi="仿宋" w:eastAsia="仿宋_GB2312" w:cs="仿宋"/>
          <w:b w:val="0"/>
          <w:bCs w:val="0"/>
          <w:color w:val="000000"/>
          <w:sz w:val="32"/>
          <w:szCs w:val="32"/>
        </w:rPr>
        <w:t>1.2体检结论表（每个考生一条记录）</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01"/>
        <w:gridCol w:w="1764"/>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101" w:type="dxa"/>
            <w:shd w:val="clear" w:color="auto" w:fill="FFFFFF"/>
            <w:noWrap w:val="0"/>
            <w:vAlign w:val="center"/>
          </w:tcPr>
          <w:p>
            <w:pPr>
              <w:jc w:val="center"/>
              <w:rPr>
                <w:rFonts w:hint="eastAsia" w:ascii="黑体" w:hAnsi="黑体" w:eastAsia="黑体" w:cs="宋体"/>
                <w:color w:val="000000"/>
                <w:szCs w:val="21"/>
                <w:shd w:val="clear" w:color="auto" w:fill="FFFFFF"/>
              </w:rPr>
            </w:pPr>
            <w:r>
              <w:rPr>
                <w:rFonts w:hint="eastAsia" w:ascii="黑体" w:hAnsi="黑体" w:eastAsia="黑体" w:cs="宋体"/>
                <w:color w:val="000000"/>
                <w:szCs w:val="21"/>
                <w:shd w:val="clear" w:color="auto" w:fill="FFFFFF"/>
              </w:rPr>
              <w:t>字段名</w:t>
            </w:r>
          </w:p>
        </w:tc>
        <w:tc>
          <w:tcPr>
            <w:tcW w:w="1764" w:type="dxa"/>
            <w:shd w:val="clear" w:color="auto" w:fill="FFFFFF"/>
            <w:noWrap w:val="0"/>
            <w:vAlign w:val="center"/>
          </w:tcPr>
          <w:p>
            <w:pPr>
              <w:jc w:val="center"/>
              <w:rPr>
                <w:rFonts w:hint="eastAsia" w:ascii="黑体" w:hAnsi="黑体" w:eastAsia="黑体" w:cs="宋体"/>
                <w:color w:val="000000"/>
                <w:szCs w:val="21"/>
                <w:shd w:val="clear" w:color="auto" w:fill="FFFFFF"/>
              </w:rPr>
            </w:pPr>
            <w:r>
              <w:rPr>
                <w:rFonts w:hint="eastAsia" w:ascii="黑体" w:hAnsi="黑体" w:eastAsia="黑体" w:cs="宋体"/>
                <w:color w:val="000000"/>
                <w:szCs w:val="21"/>
                <w:shd w:val="clear" w:color="auto" w:fill="FFFFFF"/>
              </w:rPr>
              <w:t>类型</w:t>
            </w:r>
          </w:p>
        </w:tc>
        <w:tc>
          <w:tcPr>
            <w:tcW w:w="5955" w:type="dxa"/>
            <w:shd w:val="clear" w:color="auto" w:fill="FFFFFF"/>
            <w:noWrap w:val="0"/>
            <w:vAlign w:val="center"/>
          </w:tcPr>
          <w:p>
            <w:pPr>
              <w:jc w:val="center"/>
              <w:rPr>
                <w:rFonts w:hint="eastAsia" w:ascii="黑体" w:hAnsi="黑体" w:eastAsia="黑体" w:cs="宋体"/>
                <w:color w:val="000000"/>
                <w:szCs w:val="21"/>
                <w:shd w:val="clear" w:color="auto" w:fill="FFFFFF"/>
              </w:rPr>
            </w:pPr>
            <w:r>
              <w:rPr>
                <w:rFonts w:hint="eastAsia" w:ascii="黑体" w:hAnsi="黑体" w:eastAsia="黑体" w:cs="宋体"/>
                <w:color w:val="000000"/>
                <w:szCs w:val="21"/>
                <w:shd w:val="clear" w:color="auto" w:fill="FFFFFF"/>
              </w:rPr>
              <w:t>字段说明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ksh</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C(14)，not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考生号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xm</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C(64)，not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考生姓名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bf1</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C(24)，not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体检工作指导意见第一部分情况。体检表中的示例：</w:t>
            </w:r>
            <w:r>
              <w:rPr>
                <w:rFonts w:hint="eastAsia" w:ascii="仿宋_GB2312" w:hAnsi="宋体" w:eastAsia="仿宋_GB2312" w:cs="宋体"/>
                <w:color w:val="000000"/>
                <w:szCs w:val="21"/>
              </w:rPr>
              <w:drawing>
                <wp:inline distT="0" distB="0" distL="114300" distR="114300">
                  <wp:extent cx="1258570" cy="104140"/>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grayscl/>
                          </a:blip>
                          <a:stretch>
                            <a:fillRect/>
                          </a:stretch>
                        </pic:blipFill>
                        <pic:spPr>
                          <a:xfrm>
                            <a:off x="0" y="0"/>
                            <a:ext cx="1258570" cy="104140"/>
                          </a:xfrm>
                          <a:prstGeom prst="rect">
                            <a:avLst/>
                          </a:prstGeom>
                          <a:noFill/>
                          <a:ln>
                            <a:noFill/>
                          </a:ln>
                        </pic:spPr>
                      </pic:pic>
                    </a:graphicData>
                  </a:graphic>
                </wp:inline>
              </w:drawing>
            </w:r>
            <w:r>
              <w:rPr>
                <w:rFonts w:hint="eastAsia" w:ascii="仿宋_GB2312" w:hAnsi="宋体" w:eastAsia="仿宋_GB2312" w:cs="宋体"/>
                <w:color w:val="000000"/>
                <w:szCs w:val="21"/>
                <w:shd w:val="clear" w:color="auto" w:fill="FFFFFF"/>
              </w:rPr>
              <w:t>，符合“1”则结果为11。bf1最终结果应为类似1112...16的字符串，中间无空格，长度为偶数。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bf2</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C(20)，not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体检工作指导意见第二部分情况。体检表中的示例：</w:t>
            </w:r>
            <w:r>
              <w:rPr>
                <w:rFonts w:hint="eastAsia" w:ascii="仿宋_GB2312" w:hAnsi="宋体" w:eastAsia="仿宋_GB2312" w:cs="宋体"/>
                <w:color w:val="000000"/>
                <w:szCs w:val="21"/>
              </w:rPr>
              <w:drawing>
                <wp:inline distT="0" distB="0" distL="114300" distR="114300">
                  <wp:extent cx="1068070" cy="144780"/>
                  <wp:effectExtent l="0" t="0" r="1397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grayscl/>
                          </a:blip>
                          <a:stretch>
                            <a:fillRect/>
                          </a:stretch>
                        </pic:blipFill>
                        <pic:spPr>
                          <a:xfrm>
                            <a:off x="0" y="0"/>
                            <a:ext cx="1068070" cy="144780"/>
                          </a:xfrm>
                          <a:prstGeom prst="rect">
                            <a:avLst/>
                          </a:prstGeom>
                          <a:noFill/>
                          <a:ln>
                            <a:noFill/>
                          </a:ln>
                        </pic:spPr>
                      </pic:pic>
                    </a:graphicData>
                  </a:graphic>
                </wp:inline>
              </w:drawing>
            </w:r>
            <w:r>
              <w:rPr>
                <w:rFonts w:hint="eastAsia" w:ascii="仿宋_GB2312" w:hAnsi="宋体" w:eastAsia="仿宋_GB2312" w:cs="宋体"/>
                <w:color w:val="000000"/>
                <w:szCs w:val="21"/>
              </w:rPr>
              <w:t>，符合</w:t>
            </w:r>
            <w:r>
              <w:rPr>
                <w:rFonts w:hint="eastAsia" w:ascii="仿宋_GB2312" w:hAnsi="宋体" w:eastAsia="仿宋_GB2312" w:cs="宋体"/>
                <w:color w:val="000000"/>
                <w:szCs w:val="21"/>
                <w:shd w:val="clear" w:color="auto" w:fill="FFFFFF"/>
              </w:rPr>
              <w:t>“1”则结果为21。bf2最终结果应为类似2122...25的字符串，中间无空格，长度为偶数。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bf3</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C(36)，not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体检工作指导意见第三部分情况。体检表中的示例：</w:t>
            </w:r>
            <w:r>
              <w:rPr>
                <w:rFonts w:hint="eastAsia" w:ascii="仿宋_GB2312" w:hAnsi="宋体" w:eastAsia="仿宋_GB2312" w:cs="宋体"/>
                <w:color w:val="000000"/>
                <w:szCs w:val="21"/>
              </w:rPr>
              <w:drawing>
                <wp:inline distT="0" distB="0" distL="114300" distR="114300">
                  <wp:extent cx="1897380" cy="121920"/>
                  <wp:effectExtent l="0" t="0" r="762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grayscl/>
                          </a:blip>
                          <a:stretch>
                            <a:fillRect/>
                          </a:stretch>
                        </pic:blipFill>
                        <pic:spPr>
                          <a:xfrm>
                            <a:off x="0" y="0"/>
                            <a:ext cx="1897380" cy="121920"/>
                          </a:xfrm>
                          <a:prstGeom prst="rect">
                            <a:avLst/>
                          </a:prstGeom>
                          <a:noFill/>
                          <a:ln>
                            <a:noFill/>
                          </a:ln>
                        </pic:spPr>
                      </pic:pic>
                    </a:graphicData>
                  </a:graphic>
                </wp:inline>
              </w:drawing>
            </w:r>
            <w:r>
              <w:rPr>
                <w:rFonts w:hint="eastAsia" w:ascii="仿宋_GB2312" w:hAnsi="宋体" w:eastAsia="仿宋_GB2312" w:cs="宋体"/>
                <w:color w:val="000000"/>
                <w:szCs w:val="21"/>
              </w:rPr>
              <w:t>，符合</w:t>
            </w:r>
            <w:r>
              <w:rPr>
                <w:rFonts w:hint="eastAsia" w:ascii="仿宋_GB2312" w:hAnsi="宋体" w:eastAsia="仿宋_GB2312" w:cs="宋体"/>
                <w:color w:val="000000"/>
                <w:szCs w:val="21"/>
                <w:shd w:val="clear" w:color="auto" w:fill="FFFFFF"/>
              </w:rPr>
              <w:t>“1”则结果为31。bf3最终结果应为类似3132...39的字符串，中间无空格，长度为偶数。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tjjlbz</w:t>
            </w:r>
          </w:p>
        </w:tc>
        <w:tc>
          <w:tcPr>
            <w:tcW w:w="1764" w:type="dxa"/>
            <w:shd w:val="clear" w:color="auto" w:fill="FFFFFF"/>
            <w:noWrap w:val="0"/>
            <w:vAlign w:val="center"/>
          </w:tcPr>
          <w:p>
            <w:pPr>
              <w:jc w:val="cente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C(10)，not null</w:t>
            </w:r>
          </w:p>
        </w:tc>
        <w:tc>
          <w:tcPr>
            <w:tcW w:w="5955" w:type="dxa"/>
            <w:shd w:val="clear" w:color="auto" w:fill="FFFFFF"/>
            <w:noWrap w:val="0"/>
            <w:vAlign w:val="top"/>
          </w:tcPr>
          <w:p>
            <w:pPr>
              <w:rPr>
                <w:rFonts w:hint="eastAsia" w:ascii="仿宋_GB2312" w:hAnsi="宋体" w:eastAsia="仿宋_GB2312" w:cs="宋体"/>
                <w:color w:val="000000"/>
                <w:szCs w:val="21"/>
                <w:shd w:val="clear" w:color="auto" w:fill="FFFFFF"/>
              </w:rPr>
            </w:pPr>
            <w:r>
              <w:rPr>
                <w:rFonts w:hint="eastAsia" w:ascii="仿宋_GB2312" w:hAnsi="宋体" w:eastAsia="仿宋_GB2312" w:cs="宋体"/>
                <w:color w:val="000000"/>
                <w:szCs w:val="21"/>
                <w:shd w:val="clear" w:color="auto" w:fill="FFFFFF"/>
              </w:rPr>
              <w:t>体检结论标志(#-未知、A-合格、B-不合格、C-专业受限、D-专业不宜。若确实有多项则都保存)。</w:t>
            </w:r>
          </w:p>
        </w:tc>
      </w:tr>
    </w:tbl>
    <w:p>
      <w:pPr>
        <w:spacing w:line="550" w:lineRule="exact"/>
        <w:ind w:firstLine="660"/>
        <w:rPr>
          <w:rFonts w:hint="eastAsia" w:ascii="黑体" w:hAnsi="黑体" w:eastAsia="黑体" w:cs="黑体"/>
          <w:color w:val="000000"/>
          <w:sz w:val="32"/>
          <w:szCs w:val="32"/>
        </w:rPr>
      </w:pPr>
      <w:r>
        <w:rPr>
          <w:rFonts w:hint="eastAsia" w:ascii="黑体" w:hAnsi="黑体" w:eastAsia="黑体" w:cs="黑体"/>
          <w:color w:val="000000"/>
          <w:sz w:val="32"/>
          <w:szCs w:val="32"/>
        </w:rPr>
        <w:t>2.GIF图片</w:t>
      </w:r>
    </w:p>
    <w:p>
      <w:pPr>
        <w:spacing w:line="55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为每个已完成体检考生生成一个体检表图片文件：GIF格式；像素值约720*1280；文件大小约100K；上报到省教育考试院的图片文件，以县区代码后4位作为县区级文件夹，考生号为文件名。图片样式示例如下：</w:t>
      </w:r>
    </w:p>
    <w:p>
      <w:pPr>
        <w:pStyle w:val="4"/>
        <w:rPr>
          <w:rFonts w:hint="eastAsia" w:ascii="仿宋" w:hAnsi="仿宋" w:eastAsia="仿宋" w:cs="仿宋"/>
          <w:color w:val="000000"/>
        </w:rPr>
      </w:pPr>
      <w:r>
        <w:rPr>
          <w:rFonts w:hint="eastAsia" w:ascii="仿宋" w:hAnsi="仿宋" w:eastAsia="仿宋" w:cs="仿宋"/>
          <w:color w:val="000000"/>
        </w:rPr>
        <w:drawing>
          <wp:inline distT="0" distB="0" distL="114300" distR="114300">
            <wp:extent cx="4352925" cy="7554595"/>
            <wp:effectExtent l="0" t="0" r="5715" b="4445"/>
            <wp:docPr id="4" name="图片 4" descr="江西省考试院GIF存档样卡（2021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西省考试院GIF存档样卡（20210111）"/>
                    <pic:cNvPicPr>
                      <a:picLocks noChangeAspect="1"/>
                    </pic:cNvPicPr>
                  </pic:nvPicPr>
                  <pic:blipFill>
                    <a:blip r:embed="rId7">
                      <a:grayscl/>
                    </a:blip>
                    <a:stretch>
                      <a:fillRect/>
                    </a:stretch>
                  </pic:blipFill>
                  <pic:spPr>
                    <a:xfrm>
                      <a:off x="0" y="0"/>
                      <a:ext cx="4352925" cy="7554595"/>
                    </a:xfrm>
                    <a:prstGeom prst="rect">
                      <a:avLst/>
                    </a:prstGeom>
                    <a:noFill/>
                    <a:ln>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344E0"/>
    <w:rsid w:val="0E83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1"/>
    <w:qFormat/>
    <w:uiPriority w:val="0"/>
    <w:pPr>
      <w:spacing w:before="100" w:beforeAutospacing="1" w:after="100" w:afterAutospacing="1"/>
      <w:jc w:val="left"/>
      <w:outlineLvl w:val="1"/>
    </w:pPr>
    <w:rPr>
      <w:rFonts w:hint="eastAsia"/>
      <w:kern w:val="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2021-02-23T08:07:00Z</dcterms:created>
  <dc:creator>GFT</dc:creator>
  <cp:lastModifiedBy>GFT</cp:lastModifiedBy>
  <dcterms:modified xsi:type="dcterms:W3CDTF">2021-02-23T08:08:20Z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